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28" w:rsidRPr="005D28CF" w:rsidRDefault="004E1B28" w:rsidP="004E1B28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 w:rsidRPr="005D28CF">
        <w:rPr>
          <w:rFonts w:ascii="Times New Roman" w:hAnsi="Times New Roman" w:cs="Times New Roman"/>
          <w:b w:val="0"/>
        </w:rPr>
        <w:t>Приложение №1</w:t>
      </w:r>
    </w:p>
    <w:p w:rsidR="004E1B28" w:rsidRPr="005D28CF" w:rsidRDefault="004E1B28" w:rsidP="004E1B28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</w:p>
    <w:p w:rsidR="004E1B28" w:rsidRPr="007671F9" w:rsidRDefault="004E1B28" w:rsidP="004E1B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1F9">
        <w:rPr>
          <w:rFonts w:ascii="Times New Roman" w:hAnsi="Times New Roman" w:cs="Times New Roman"/>
          <w:sz w:val="28"/>
          <w:szCs w:val="28"/>
        </w:rPr>
        <w:t>Перечень функций приборов учета электрической энергии,</w:t>
      </w:r>
    </w:p>
    <w:p w:rsidR="004E1B28" w:rsidRPr="007671F9" w:rsidRDefault="004E1B28" w:rsidP="004E1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F9">
        <w:rPr>
          <w:rFonts w:ascii="Times New Roman" w:hAnsi="Times New Roman" w:cs="Times New Roman"/>
          <w:sz w:val="28"/>
          <w:szCs w:val="28"/>
        </w:rPr>
        <w:t>которые могут быть присоединены к интеллектуальной системе</w:t>
      </w:r>
    </w:p>
    <w:p w:rsidR="004E1B28" w:rsidRPr="007671F9" w:rsidRDefault="004E1B28" w:rsidP="004E1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F9">
        <w:rPr>
          <w:rFonts w:ascii="Times New Roman" w:hAnsi="Times New Roman" w:cs="Times New Roman"/>
          <w:sz w:val="28"/>
          <w:szCs w:val="28"/>
        </w:rPr>
        <w:t>учета, и требования к ним</w:t>
      </w:r>
      <w:r w:rsidR="007671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E1B28" w:rsidRPr="005D28CF" w:rsidRDefault="004E1B28" w:rsidP="004E1B28">
      <w:pPr>
        <w:pStyle w:val="ConsPlusNormal"/>
        <w:jc w:val="both"/>
      </w:pPr>
    </w:p>
    <w:p w:rsidR="004E1B28" w:rsidRPr="005D28CF" w:rsidRDefault="004E1B28" w:rsidP="004E1B28">
      <w:pPr>
        <w:pStyle w:val="ConsPlusNormal"/>
        <w:ind w:firstLine="540"/>
        <w:jc w:val="both"/>
      </w:pPr>
      <w:r w:rsidRPr="005D28CF">
        <w:t>1</w:t>
      </w:r>
      <w:r w:rsidRPr="005D28CF">
        <w:t xml:space="preserve">. Прибор учета электрической энергии, который может быть присоединен к интеллектуальной системе учета, должен удовлетворять требованиям, предъявляемым </w:t>
      </w:r>
      <w:hyperlink r:id="rId4" w:history="1">
        <w:r w:rsidRPr="005D28CF">
          <w:t>законодательством</w:t>
        </w:r>
      </w:hyperlink>
      <w:r w:rsidRPr="005D28CF">
        <w:t xml:space="preserve"> Российской Федерации об обеспечении единства измерений к средствам измерений, применяемым в сфере государственного регулирования обеспечения единства измерений, и обеспечивать в точке учета: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а) измерение активной и реактивной энергии в сетях переменного тока в двух направлениях с классом точности 1,0 и выше по активной энергии и 2,0 по реактивной энергии (0,5S и выше по активной энергии и 1,0 по реактивной энергии для приборов учета электрической энергии трансформаторного включения) и установленным интервалом между поверками не менее 16 лет для однофазных приборов учета электрической энергии и не менее 10 лет для трехфазных приборов учета электрической энергии;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б) возможность выполнения измерений с применением коэффициентов трансформации измерительных трансформаторов тока и напряжения (для приборов учета электрической энергии трансформаторного включения);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в) ведение времени независимо от наличия напряжения в питающей сети с абсолютной погрешностью хода внутренних часов не более 5 секунд в сутки, а также с возможностью смены часового пояса;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г) возможность синхронизации и коррекции времени с внешним источником сигналов точного времени;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д) возможность учета активной и реактивной энергии с фиксацией на конец программируемых расчетных периодов и по не менее чем 4 программируемым тарифным зонам с не менее чем 4 диапазонами суммирования в каждом (далее - тарифное расписание);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е) измерение и вычисление: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фазного напряжения в каждой фазе;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линейного напряжения (для трехфазных приборов учета электрической энергии);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фазного тока в каждой фазе;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активной, реактивной и полной мощности в каждой фазе и суммарной мощности;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значения тока в нулевом проводе (для однофазного прибора учета электрической энергии);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небаланса токов в фазном и нулевом проводах (для однофазного прибора учета электрической энергии);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частоты электрической сети;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ж) нарушение индивидуальных параметров качества электроснабжения (погрешность измерения параметров должна соответствовать классу S или выше согласно ГОСТ </w:t>
      </w:r>
      <w:r w:rsidRPr="005D28CF">
        <w:lastRenderedPageBreak/>
        <w:t>30804.4.30-2013);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з) контроль наличия внешнего переменного и постоянного магнитного поля;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и) отображение на встроенном и (или) выносном цифровом дисплее: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текущих даты и времени;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текущих значений потребленной электрической энергии суммарно и по тарифным зонам;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текущих значений активной и реактивной мощности, напряжения, тока и частоты;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значения потребленной электрической энергии на конец последнего программируемого расчетного периода суммарно и по тарифным зонам;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индикатора режима приема и отдачи электрической энергии;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индикатора факта нарушения индивидуальных параметров качества электроснабжения;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индикатора вскрытия электронных пломб на корпусе и </w:t>
      </w:r>
      <w:proofErr w:type="spellStart"/>
      <w:r w:rsidRPr="005D28CF">
        <w:t>клеммной</w:t>
      </w:r>
      <w:proofErr w:type="spellEnd"/>
      <w:r w:rsidRPr="005D28CF">
        <w:t xml:space="preserve"> крышке прибора учета электрической энергии;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индикатора факта события воздействия магнитных полей со значением модуля вектора магнитной индукции свыше 150 </w:t>
      </w:r>
      <w:proofErr w:type="spellStart"/>
      <w:r w:rsidRPr="005D28CF">
        <w:t>мТл</w:t>
      </w:r>
      <w:proofErr w:type="spellEnd"/>
      <w:r w:rsidRPr="005D28CF">
        <w:t xml:space="preserve"> (пиковое значение) на элементы прибора учета электрической энергии;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индикатора неработоспособности прибора учета электрической энергии вследствие аппаратного или программного сбоя;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к) отображение информации в единицах величин, допущенных к применению в Российской Федерации </w:t>
      </w:r>
      <w:hyperlink r:id="rId5" w:history="1">
        <w:r w:rsidRPr="005D28CF">
          <w:t>Положением</w:t>
        </w:r>
      </w:hyperlink>
      <w:r w:rsidRPr="005D28CF">
        <w:t xml:space="preserve"> о единицах величин, допускаемых к применению в Российской Федерации, утвержденным постановлением Правительства Российской Федерации от 31 октября 2009 г. N 879 "Об утверждении Положения о единицах величин, допускаемых к применению в Российской Федерации" (обозначение активной электрической энергии - в </w:t>
      </w:r>
      <w:proofErr w:type="spellStart"/>
      <w:r w:rsidRPr="005D28CF">
        <w:t>кВт·ч</w:t>
      </w:r>
      <w:proofErr w:type="spellEnd"/>
      <w:r w:rsidRPr="005D28CF">
        <w:t xml:space="preserve">, реактивной - в </w:t>
      </w:r>
      <w:proofErr w:type="spellStart"/>
      <w:r w:rsidRPr="005D28CF">
        <w:t>кВАр·ч</w:t>
      </w:r>
      <w:proofErr w:type="spellEnd"/>
      <w:r w:rsidRPr="005D28CF">
        <w:t>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л) индикацию функционирования (работоспособного состояния) на корпусе и выносном дисплее (при наличии выносного дисплея);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м) наличие 2 интерфейсов связи для организации канала связи (оптического и иного другого), а в отношении приборов учета электрической энергии трансформаторного включения также по цифровому электрическому интерфейсу связи RS-485 или цифровому электрическому интерфейсу связи </w:t>
      </w:r>
      <w:proofErr w:type="spellStart"/>
      <w:r w:rsidRPr="005D28CF">
        <w:t>Ethernet</w:t>
      </w:r>
      <w:proofErr w:type="spellEnd"/>
      <w:r w:rsidRPr="005D28CF">
        <w:t>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н) защиту прибора учета электрической энергии от несанкционированного доступа с помощью реализации в приборе учета: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идентификации и аутентификации;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контроля доступа;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контроля целостности;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lastRenderedPageBreak/>
        <w:t>регистрации событий безопасности в журнале событий;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о) фиксирование несанкционированного доступа к прибору учета посредством энергонезависимой электронной пломбы, фиксирующей вскрытие </w:t>
      </w:r>
      <w:proofErr w:type="spellStart"/>
      <w:r w:rsidRPr="005D28CF">
        <w:t>клеммной</w:t>
      </w:r>
      <w:proofErr w:type="spellEnd"/>
      <w:r w:rsidRPr="005D28CF">
        <w:t xml:space="preserve"> крышки и вскрытие корпуса (для разборных корпусов);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п) фиксацию воздействия постоянного или переменного магнитного поля с указанием даты и времени воздействия со значением модуля вектора магнитной индукции свыше 150 </w:t>
      </w:r>
      <w:proofErr w:type="spellStart"/>
      <w:r w:rsidRPr="005D28CF">
        <w:t>мТл</w:t>
      </w:r>
      <w:proofErr w:type="spellEnd"/>
      <w:r w:rsidRPr="005D28CF">
        <w:t xml:space="preserve"> (пиковое значение);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р) запись событий в отдельные выделенные сегменты энергонезависимой памяти прибора учета электрической энергии (с указанием даты и времени), результатов нарушения индивидуальных параметров качества электроснабжения - в отдельные выделенные сегменты энергонезависимой памяти прибора учета электрической энергии (далее соответственно - журнал событий, ведение журнала событий) в объеме не менее чем на 500 записей;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с) ведение журнала событий, в котором должно фиксироваться следующее: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дата и время вскрытия </w:t>
      </w:r>
      <w:proofErr w:type="spellStart"/>
      <w:r w:rsidRPr="005D28CF">
        <w:t>клеммной</w:t>
      </w:r>
      <w:proofErr w:type="spellEnd"/>
      <w:r w:rsidRPr="005D28CF">
        <w:t xml:space="preserve"> крышки;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дата и время вскрытия корпуса прибора учета электрической энергии (для разборных корпусов);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дата, время и причина включения и отключения встроенного коммутационного аппарата;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дата и время последнего перепрограммирования;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дата, время, тип и параметры выполненной команды;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попытка доступа с неуспешной идентификацией и (или) аутентификацией;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попытка доступа с нарушением правил управления доступом;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попытка несанкционированного нарушения целостности программного обеспечения и параметров;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изменение направления </w:t>
      </w:r>
      <w:proofErr w:type="spellStart"/>
      <w:r w:rsidRPr="005D28CF">
        <w:t>перетока</w:t>
      </w:r>
      <w:proofErr w:type="spellEnd"/>
      <w:r w:rsidRPr="005D28CF">
        <w:t xml:space="preserve"> мощности (для однофазных и трехфазных приборов учета электрической энергии);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дата и время воздействия постоянного или переменного магнитного поля со значением модуля вектора магнитной индукции свыше 150 </w:t>
      </w:r>
      <w:proofErr w:type="spellStart"/>
      <w:r w:rsidRPr="005D28CF">
        <w:t>мТл</w:t>
      </w:r>
      <w:proofErr w:type="spellEnd"/>
      <w:r w:rsidRPr="005D28CF">
        <w:t xml:space="preserve"> (пиковое значение) с визуализацией индикации;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факт связи с прибором учета электрической энергии, приведшей к изменению параметров конфигурации, режимов функционирования (в том числе введение полного и (или) частичного ограничения (возобновления) режима потребления электрической энергии (управление нагрузкой);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дата и время отклонения напряжения в измерительных цепях от заданных пределов;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отсутствие или низкое напряжение при наличии тока в измерительных цепях с конфигурируемыми порогами (кроме однофазных и трехфазных приборов учета электрической энергии прямого включения);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lastRenderedPageBreak/>
        <w:t>отсутствие напряжения либо значение напряжения ниже запрограммированного порога по каждой фазе с фиксацией времени пропадания и восстановления напряжения;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инверсия фазы или нарушение чередования фаз (для трехфазных приборов учета электрической энергии);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превышение соотношения величин потребления активной и реактивной мощности;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небаланс тока в нулевом и фазном проводе (для однофазных приборов учета электрической энергии);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превышение заданного предела мощности;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т) формирование по результатам автоматической самодиагностики обобщенного события или каждого факта события;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у) изменение текущих значений времени и даты при синхронизации времени с фиксацией в журнале событий времени до и после коррекции или величины коррекции времени, на которую было скорректировано значение;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ф) возможность полного и (или) частичного ограничения (возобновления) режима потребления электрической энергии, приостановление или ограничение предоставления коммунальной услуги (управление нагрузкой) с использованием встроенного коммутационного аппарата, в том числе путем его фиксации в положении "отключено" непосредственно на приборе учета электрической энергии (кроме приборов учета электрической энергии трансформаторного включения), в следующих случаях: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запрос интеллектуальной системы учета;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превышение заданных в приборе учета электрической энергии пределов параметров электрической сети;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превышение заданного в приборе учета электрической энергии предела электрической энергии (мощности);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несанкционированный доступ к прибору учета электрической энергии (вскрытие </w:t>
      </w:r>
      <w:proofErr w:type="spellStart"/>
      <w:r w:rsidRPr="005D28CF">
        <w:t>клеммной</w:t>
      </w:r>
      <w:proofErr w:type="spellEnd"/>
      <w:r w:rsidRPr="005D28CF">
        <w:t xml:space="preserve"> крышки, вскрытие корпуса (для разборных корпусов) и воздействие постоянным и переменным магнитным полем);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х) возобновление подачи электрической энергии по запросу интеллектуальной системы учета, в том числе путем фиксации встроенного коммутационного аппарата в положении "включено" непосредственно на приборе учета электрической энергии;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ц) хранение профиля принятой и отданной активной и реактивной энергии (мощности) с программируемым интервалом времени интегрирования от 1 минуты до 60 минут и периодом хранения не менее 90 суток (при времени интегрирования 30 минут);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ч) хранение в энергонезависимом запоминающем устройстве прибора учета электрической энергии данных по принятой и отданной активной и реактивной энергии с нарастающим итогом на начало текущего расчетного периода и не менее 36 предыдущих программируемых расчетных периодов;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 xml:space="preserve">ш) обеспечение энергонезависимого хранения журнала событий, выявление фактов изменения (искажения) информации, влияющих на информацию о количестве и иных </w:t>
      </w:r>
      <w:r w:rsidRPr="005D28CF">
        <w:lastRenderedPageBreak/>
        <w:t>параметрах электрической энергии, а также фактов изменения (искажения) программного обеспечения прибора учета электрической энергии;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щ) возможность организации с использованием защищенных протоколов передачи данных из состава протоколов, утвержденных Министерством цифрового развития, связи и массовых коммуникаций Российской Федерации по согласованию с Министерством энергетики Российской Федерации, информационного обмена с интеллектуальной системой учета, в том числе передачи показаний, предоставления информации о результатах измерения количества и иных параметров электрической энергии, передачи журналов событий и данных о параметрах настройки, а также удаленного управления прибором учета электрической энергии, не влияющих на результаты выполняемых приборами учета электрической энергии измерений, включая: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корректировку текущей даты и (или) времени, часового пояса;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изменение тарифного расписания;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программирование состава и последовательности вывода сообщений и измеряемых параметров на дисплей;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программирование параметров фиксации индивидуальных параметров качества электроснабжения;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программирование даты начала расчетного периода;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программирование параметров срабатывания встроенных коммутационных аппаратов;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изменение паролей доступа к параметрам;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изменение ключей шифрования;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управление встроенным коммутационным аппаратом путем его фиксации в положении "отключено" (кроме приборов учета электрической энергии трансформаторного включения);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э) возможность передачи зарегистрированных событий в интеллектуальную систему учета по инициативе прибора учета электрической энергии в момент их возникновения и выбор их состава.</w:t>
      </w:r>
    </w:p>
    <w:p w:rsidR="004E1B28" w:rsidRPr="005D28CF" w:rsidRDefault="004E1B28" w:rsidP="004E1B28">
      <w:pPr>
        <w:pStyle w:val="ConsPlusNormal"/>
        <w:spacing w:before="240"/>
        <w:ind w:firstLine="540"/>
        <w:jc w:val="both"/>
      </w:pPr>
      <w:r w:rsidRPr="005D28CF">
        <w:t>2</w:t>
      </w:r>
      <w:r w:rsidRPr="005D28CF">
        <w:t>. Для приборов учета электрической энергии непосредственного включения необходимо наличие возможности физической (аппаратной) блокировки срабатывания встроенного коммутационного аппарата, используемого для полного и (или) частичного ограничения (возобновления) режима потребления электрической энергии, приостановления или ограничения предоставления коммунальной услуги (управление нагрузкой). Реализация физической (аппаратной) блокировки должна сопровождаться процессом опломбирования.</w:t>
      </w:r>
    </w:p>
    <w:p w:rsidR="00393E87" w:rsidRPr="005D28CF" w:rsidRDefault="00393E87">
      <w:pPr>
        <w:rPr>
          <w:rFonts w:ascii="Times New Roman" w:hAnsi="Times New Roman" w:cs="Times New Roman"/>
          <w:sz w:val="24"/>
          <w:szCs w:val="24"/>
        </w:rPr>
      </w:pPr>
    </w:p>
    <w:sectPr w:rsidR="00393E87" w:rsidRPr="005D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28"/>
    <w:rsid w:val="00393E87"/>
    <w:rsid w:val="004E1B28"/>
    <w:rsid w:val="005D28CF"/>
    <w:rsid w:val="007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82FC-1E7D-4D81-A72E-D672A48C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1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OS&amp;n=184726&amp;date=11.01.2021&amp;dst=100008&amp;fld=134" TargetMode="External"/><Relationship Id="rId4" Type="http://schemas.openxmlformats.org/officeDocument/2006/relationships/hyperlink" Target="https://login.consultant.ru/link/?req=doc&amp;base=ROS&amp;n=370350&amp;date=11.01.2021&amp;dst=10007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gship</dc:creator>
  <cp:keywords/>
  <dc:description/>
  <cp:lastModifiedBy>gship</cp:lastModifiedBy>
  <cp:revision>3</cp:revision>
  <dcterms:created xsi:type="dcterms:W3CDTF">2021-02-14T09:59:00Z</dcterms:created>
  <dcterms:modified xsi:type="dcterms:W3CDTF">2021-02-14T12:04:00Z</dcterms:modified>
</cp:coreProperties>
</file>